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D" w:rsidRDefault="0088239D" w:rsidP="0088239D">
      <w:pPr>
        <w:pStyle w:val="2"/>
      </w:pPr>
      <w:proofErr w:type="spellStart"/>
      <w:r w:rsidRPr="000E3622">
        <w:t>Gartner</w:t>
      </w:r>
      <w:proofErr w:type="spellEnd"/>
      <w:r w:rsidRPr="000E3622">
        <w:t xml:space="preserve"> представил 10 трендов в сфере технологий в 2024 году</w:t>
      </w:r>
    </w:p>
    <w:p w:rsidR="0088239D" w:rsidRDefault="0088239D" w:rsidP="0088239D">
      <w:pPr>
        <w:jc w:val="both"/>
      </w:pPr>
      <w:r>
        <w:t xml:space="preserve">Эксперты исследовательской и консалтинговой компании </w:t>
      </w:r>
      <w:proofErr w:type="spellStart"/>
      <w:r>
        <w:t>Gartner</w:t>
      </w:r>
      <w:proofErr w:type="spellEnd"/>
      <w:r>
        <w:t xml:space="preserve"> представили исследование, которое описывает десяток главных стратегических технологических трендов в 2024 году. Следование этим трендам позволит повысить устойчивость бизнеса, максимизировать ценность данных, привлечь и удержать таланты, достигнуть целей устойчивого развития, стимулировать рост и ускорение цифрового бизнеса.</w:t>
      </w:r>
    </w:p>
    <w:p w:rsidR="0088239D" w:rsidRDefault="0088239D" w:rsidP="0088239D">
      <w:pPr>
        <w:jc w:val="both"/>
      </w:pPr>
      <w:r>
        <w:rPr>
          <w:noProof/>
          <w:lang w:eastAsia="ru-RU"/>
        </w:rPr>
        <w:drawing>
          <wp:inline distT="0" distB="0" distL="0" distR="0" wp14:anchorId="26EDA0FB" wp14:editId="054585F1">
            <wp:extent cx="5940425" cy="3569065"/>
            <wp:effectExtent l="0" t="0" r="3175" b="0"/>
            <wp:docPr id="8" name="Рисунок 8" descr="https://leonardo.osnova.io/a613e7db-8f90-5078-a0db-dc9cfeeffed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eonardo.osnova.io/a613e7db-8f90-5078-a0db-dc9cfeeffed0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9D" w:rsidRDefault="0088239D" w:rsidP="0088239D">
      <w:pPr>
        <w:jc w:val="both"/>
      </w:pPr>
      <w:r>
        <w:t xml:space="preserve">Каждая из тенденций связана с одной или несколькими ключевыми темами бизнеса: </w:t>
      </w:r>
      <w:r w:rsidRPr="0088239D">
        <w:rPr>
          <w:shd w:val="clear" w:color="auto" w:fill="F7CAAC" w:themeFill="accent2" w:themeFillTint="66"/>
        </w:rPr>
        <w:t>защита и сохранение прошлых и будущих инвестиций; принятие правильных решений в нужное время; обеспечение ценности для меняющейся среды как внутренних, так и внешних потребителей</w:t>
      </w:r>
      <w:r>
        <w:t>.</w:t>
      </w:r>
    </w:p>
    <w:p w:rsidR="0088239D" w:rsidRDefault="0088239D" w:rsidP="0088239D">
      <w:pPr>
        <w:jc w:val="both"/>
      </w:pPr>
      <w:r>
        <w:t xml:space="preserve">Карта включает 10 трендов: </w:t>
      </w:r>
      <w:r w:rsidRPr="0088239D">
        <w:rPr>
          <w:shd w:val="clear" w:color="auto" w:fill="BDD6EE" w:themeFill="accent1" w:themeFillTint="66"/>
        </w:rPr>
        <w:t xml:space="preserve">управление доверием, рисками и безопасностью ИИ (AI </w:t>
      </w:r>
      <w:proofErr w:type="spellStart"/>
      <w:r w:rsidRPr="0088239D">
        <w:rPr>
          <w:shd w:val="clear" w:color="auto" w:fill="BDD6EE" w:themeFill="accent1" w:themeFillTint="66"/>
        </w:rPr>
        <w:t>TRiSM</w:t>
      </w:r>
      <w:proofErr w:type="spellEnd"/>
      <w:r w:rsidRPr="0088239D">
        <w:rPr>
          <w:shd w:val="clear" w:color="auto" w:fill="BDD6EE" w:themeFill="accent1" w:themeFillTint="66"/>
        </w:rPr>
        <w:t>), непрерывное управление рисками (CTEM), устойчивые технологии, разработка платформ, разработка с использованием искусственного интеллекта, отраслевые облачные платформы, интеллектуальные приложения, демократизация генеративного искусственного интеллекта, расширенная подключенная рабочая сила и клиенты-машины.</w:t>
      </w:r>
      <w:r>
        <w:t xml:space="preserve"> Рассмотрим их подробнее.</w:t>
      </w:r>
    </w:p>
    <w:p w:rsidR="0088239D" w:rsidRPr="005B5B73" w:rsidRDefault="0088239D" w:rsidP="0088239D">
      <w:pPr>
        <w:jc w:val="both"/>
        <w:rPr>
          <w:b/>
          <w:color w:val="C00000"/>
        </w:rPr>
      </w:pPr>
      <w:r w:rsidRPr="005B5B73">
        <w:rPr>
          <w:b/>
          <w:color w:val="C00000"/>
        </w:rPr>
        <w:t>Защита инвестиций</w:t>
      </w:r>
    </w:p>
    <w:p w:rsidR="0088239D" w:rsidRDefault="0088239D" w:rsidP="0088239D">
      <w:pPr>
        <w:jc w:val="both"/>
      </w:pPr>
      <w:r>
        <w:t xml:space="preserve">Аналитики </w:t>
      </w:r>
      <w:proofErr w:type="spellStart"/>
      <w:r>
        <w:t>Gartner</w:t>
      </w:r>
      <w:proofErr w:type="spellEnd"/>
      <w:r>
        <w:t xml:space="preserve"> отмечают, что устойчивый эффект от инвестиций в технологии обеспечивается целенаправленными усилиями, расчетом окупаемости и дальновидностью при их внедрении. В эту категорию попадают следующие IT-тенденции:</w:t>
      </w:r>
    </w:p>
    <w:p w:rsidR="0088239D" w:rsidRDefault="0088239D" w:rsidP="0088239D">
      <w:pPr>
        <w:shd w:val="clear" w:color="auto" w:fill="DBDBDB" w:themeFill="accent3" w:themeFillTint="66"/>
        <w:jc w:val="both"/>
      </w:pPr>
      <w:r>
        <w:t xml:space="preserve">управление доверием, рисками и безопасностью ИИ (AI </w:t>
      </w:r>
      <w:proofErr w:type="spellStart"/>
      <w:r>
        <w:t>TRiSM</w:t>
      </w:r>
      <w:proofErr w:type="spellEnd"/>
      <w:r>
        <w:t>);</w:t>
      </w:r>
    </w:p>
    <w:p w:rsidR="0088239D" w:rsidRDefault="0088239D" w:rsidP="0088239D">
      <w:pPr>
        <w:shd w:val="clear" w:color="auto" w:fill="DBDBDB" w:themeFill="accent3" w:themeFillTint="66"/>
        <w:jc w:val="both"/>
      </w:pPr>
      <w:r>
        <w:t>непрерывное управление рисками (CTEM);</w:t>
      </w:r>
    </w:p>
    <w:p w:rsidR="0088239D" w:rsidRDefault="0088239D" w:rsidP="0088239D">
      <w:pPr>
        <w:shd w:val="clear" w:color="auto" w:fill="DBDBDB" w:themeFill="accent3" w:themeFillTint="66"/>
        <w:jc w:val="both"/>
      </w:pPr>
      <w:r>
        <w:t>отраслевые облачные платформы;</w:t>
      </w:r>
    </w:p>
    <w:p w:rsidR="0088239D" w:rsidRDefault="0088239D" w:rsidP="0088239D">
      <w:pPr>
        <w:shd w:val="clear" w:color="auto" w:fill="DBDBDB" w:themeFill="accent3" w:themeFillTint="66"/>
        <w:jc w:val="both"/>
      </w:pPr>
      <w:r>
        <w:lastRenderedPageBreak/>
        <w:t>устойчивые технологии;</w:t>
      </w:r>
    </w:p>
    <w:p w:rsidR="0088239D" w:rsidRDefault="0088239D" w:rsidP="0088239D">
      <w:pPr>
        <w:shd w:val="clear" w:color="auto" w:fill="DBDBDB" w:themeFill="accent3" w:themeFillTint="66"/>
        <w:jc w:val="both"/>
      </w:pPr>
      <w:r>
        <w:t>демократизация генеративного ИИ.</w:t>
      </w:r>
    </w:p>
    <w:p w:rsidR="0088239D" w:rsidRPr="005B5B73" w:rsidRDefault="0088239D" w:rsidP="0088239D">
      <w:pPr>
        <w:jc w:val="both"/>
        <w:rPr>
          <w:b/>
          <w:color w:val="00B050"/>
        </w:rPr>
      </w:pPr>
      <w:r w:rsidRPr="005B5B73">
        <w:rPr>
          <w:b/>
          <w:color w:val="00B050"/>
        </w:rPr>
        <w:t>Раскрытие ценности сообществ</w:t>
      </w:r>
    </w:p>
    <w:p w:rsidR="0088239D" w:rsidRDefault="0088239D" w:rsidP="0088239D">
      <w:pPr>
        <w:jc w:val="both"/>
      </w:pPr>
      <w:r>
        <w:t xml:space="preserve">Аналитики </w:t>
      </w:r>
      <w:proofErr w:type="spellStart"/>
      <w:r>
        <w:t>Gartner</w:t>
      </w:r>
      <w:proofErr w:type="spellEnd"/>
      <w:r>
        <w:t xml:space="preserve"> считают, что в 2024 году бизнесу нужно обратиться к творческим способностям множества сообществ, создающих приложения и иные решения. Шагами к этому станут внедрение технологий отрасли, которые соответствуют конкретным потребностям организации и специалистов, разработка «дорожной карты» для неспециалистов и тесное сотрудничество с заинтересованными сторонами бизнеса для поставок программного обеспечения. Этому соответствуют следующие IT-тенденции: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разработка платформ;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разработка с использованием технологий искусственного интеллекта;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отраслевые облачные платформы;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интеллектуальные приложения;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устойчивые технологии;</w:t>
      </w:r>
    </w:p>
    <w:p w:rsidR="0088239D" w:rsidRDefault="0088239D" w:rsidP="0088239D">
      <w:pPr>
        <w:shd w:val="clear" w:color="auto" w:fill="FFE599" w:themeFill="accent4" w:themeFillTint="66"/>
        <w:jc w:val="both"/>
      </w:pPr>
      <w:r>
        <w:t>демократизация генеративного ИИ.</w:t>
      </w:r>
    </w:p>
    <w:p w:rsidR="0088239D" w:rsidRPr="005B5B73" w:rsidRDefault="0088239D" w:rsidP="0088239D">
      <w:pPr>
        <w:jc w:val="both"/>
        <w:rPr>
          <w:b/>
          <w:color w:val="0070C0"/>
        </w:rPr>
      </w:pPr>
      <w:r w:rsidRPr="005B5B73">
        <w:rPr>
          <w:b/>
          <w:color w:val="0070C0"/>
        </w:rPr>
        <w:t>Обеспечение ценности</w:t>
      </w:r>
    </w:p>
    <w:p w:rsidR="0088239D" w:rsidRDefault="0088239D" w:rsidP="0088239D">
      <w:pPr>
        <w:jc w:val="both"/>
      </w:pPr>
      <w:r>
        <w:t>Аналитики отмечают, что адаптация бизнеса к изменяющимся требованиям клиентов позволит улучшить качество обслуживания заинтересованных сторон и увеличить доходы. Этому будут способствовать подходы, основанные на алгоритмах, а также доступ к быстро развивающимся цифровым инструментам. Им соответствуют следующие тренды:</w:t>
      </w:r>
    </w:p>
    <w:p w:rsidR="0088239D" w:rsidRDefault="0088239D" w:rsidP="0088239D">
      <w:pPr>
        <w:shd w:val="clear" w:color="auto" w:fill="C5E0B3" w:themeFill="accent6" w:themeFillTint="66"/>
        <w:jc w:val="both"/>
      </w:pPr>
      <w:r>
        <w:t>клиенты-машины;</w:t>
      </w:r>
    </w:p>
    <w:p w:rsidR="0088239D" w:rsidRDefault="0088239D" w:rsidP="0088239D">
      <w:pPr>
        <w:shd w:val="clear" w:color="auto" w:fill="C5E0B3" w:themeFill="accent6" w:themeFillTint="66"/>
        <w:jc w:val="both"/>
      </w:pPr>
      <w:r>
        <w:t>расширенная подключенная рабочая сила;</w:t>
      </w:r>
    </w:p>
    <w:p w:rsidR="0088239D" w:rsidRDefault="0088239D" w:rsidP="0088239D">
      <w:pPr>
        <w:shd w:val="clear" w:color="auto" w:fill="C5E0B3" w:themeFill="accent6" w:themeFillTint="66"/>
        <w:jc w:val="both"/>
      </w:pPr>
      <w:r>
        <w:t>интеллектуальные приложения;</w:t>
      </w:r>
    </w:p>
    <w:p w:rsidR="0088239D" w:rsidRDefault="0088239D" w:rsidP="0088239D">
      <w:pPr>
        <w:shd w:val="clear" w:color="auto" w:fill="C5E0B3" w:themeFill="accent6" w:themeFillTint="66"/>
        <w:jc w:val="both"/>
      </w:pPr>
      <w:r>
        <w:t>устойчивые технологии;</w:t>
      </w:r>
      <w:bookmarkStart w:id="0" w:name="_GoBack"/>
      <w:bookmarkEnd w:id="0"/>
    </w:p>
    <w:p w:rsidR="0088239D" w:rsidRDefault="0088239D" w:rsidP="0088239D">
      <w:pPr>
        <w:shd w:val="clear" w:color="auto" w:fill="C5E0B3" w:themeFill="accent6" w:themeFillTint="66"/>
        <w:jc w:val="both"/>
      </w:pPr>
      <w:r>
        <w:t>демократизация генеративного ИИ.</w:t>
      </w:r>
    </w:p>
    <w:p w:rsidR="00686923" w:rsidRDefault="00686923" w:rsidP="0088239D">
      <w:pPr>
        <w:jc w:val="both"/>
      </w:pPr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D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8239D"/>
    <w:rsid w:val="008A5898"/>
    <w:rsid w:val="00924EA6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A3A4-33F0-461F-9EB5-E7211408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239D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924EA6"/>
    <w:pPr>
      <w:keepNext/>
      <w:keepLines/>
      <w:spacing w:before="120"/>
      <w:outlineLvl w:val="1"/>
    </w:pPr>
    <w:rPr>
      <w:rFonts w:ascii="Arial" w:eastAsiaTheme="majorEastAsia" w:hAnsi="Arial" w:cstheme="majorBidi"/>
      <w:b/>
      <w:sz w:val="32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24EA6"/>
    <w:rPr>
      <w:rFonts w:ascii="Arial" w:eastAsiaTheme="majorEastAsia" w:hAnsi="Arial" w:cstheme="majorBidi"/>
      <w:b/>
      <w:sz w:val="32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color w:val="000000" w:themeColor="text1"/>
      <w:sz w:val="24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2024-02-24T08:47:00Z</dcterms:created>
  <dcterms:modified xsi:type="dcterms:W3CDTF">2024-02-24T08:51:00Z</dcterms:modified>
</cp:coreProperties>
</file>