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3" w:rsidRPr="00E77566" w:rsidRDefault="00E77566" w:rsidP="00E77566">
      <w:pPr>
        <w:pStyle w:val="ConsPlusTitle"/>
        <w:rPr>
          <w:b w:val="0"/>
        </w:rPr>
      </w:pPr>
      <w:r w:rsidRPr="00E77566">
        <w:rPr>
          <w:b w:val="0"/>
        </w:rPr>
        <w:t>Криптовалюты в финансовой системе россии: новые подходы</w:t>
      </w:r>
      <w:r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>к</w:t>
      </w:r>
      <w:r w:rsidRPr="00E77566">
        <w:rPr>
          <w:b w:val="0"/>
        </w:rPr>
        <w:t xml:space="preserve"> правовому регулированию</w:t>
      </w:r>
    </w:p>
    <w:p w:rsidR="00292A33" w:rsidRPr="00E77566" w:rsidRDefault="00292A33" w:rsidP="00E77566">
      <w:pPr>
        <w:pStyle w:val="ConsPlusNormal"/>
        <w:ind w:firstLine="540"/>
      </w:pPr>
    </w:p>
    <w:p w:rsidR="00292A33" w:rsidRPr="00E77566" w:rsidRDefault="00E77566" w:rsidP="00E77566">
      <w:pPr>
        <w:pStyle w:val="ConsPlusNormal"/>
      </w:pPr>
      <w:r w:rsidRPr="00E77566">
        <w:t>Е.</w:t>
      </w:r>
      <w:r>
        <w:t>Г</w:t>
      </w:r>
      <w:r w:rsidRPr="00E77566">
        <w:t xml:space="preserve">. </w:t>
      </w:r>
      <w:r>
        <w:t>К</w:t>
      </w:r>
      <w:r w:rsidRPr="00E77566">
        <w:t>остикова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Изучение правовых основ обращения криптовалют (цифровых валют) </w:t>
      </w:r>
      <w:r w:rsidRPr="0045131A">
        <w:rPr>
          <w:highlight w:val="cyan"/>
        </w:rPr>
        <w:t>&lt;1&gt;</w:t>
      </w:r>
      <w:r>
        <w:t xml:space="preserve"> в России позволяет выделить три этапа их формирования, которые обусловлены уровнем изученности экономических и технологических особенностей этого феномена, накоплением эмпирических данных об этом явлении, достижениями в сфере "управленческих" цифровых технологий, доступных государству.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 w:rsidRPr="00B74784">
        <w:t>&lt;1&gt; Далее термины "криптовалюта" и "цифровая валюта" используются как синонимы.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На первом этапе - 2014 - 2017 гг. - в отсутствие правового регулирования транслировался оперативный запрет на операции с криптовалютами. Для этого были выпущены письма Банка России и Росфинмониторинга, в которых криптовалюты позиционировались как денежные суррогаты, а операции с ними - как незаконные и сомнительные; население и хозяйствующие субъекты, в том числе финансовые организации, предупреждались о связанных с криптовалютами рисках. Также были попытки введения законодательного запрета на операции с криптовалютами, а также уголовной ответственности за совершение операций с ними. Роскомнадзор блокировал сайты, на которых были доступны транзакции с Bitcoin. МВД и ФСБ задерживали лиц, которые "нелегально" зарабатывали на конверсии криптовалюты </w:t>
      </w:r>
      <w:r w:rsidRPr="0045131A">
        <w:rPr>
          <w:highlight w:val="yellow"/>
        </w:rPr>
        <w:t>&lt;2&gt;.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&lt;2&gt; См. подробно: </w:t>
      </w:r>
      <w:r w:rsidRPr="00B74784">
        <w:t>Костикова Е.Г. Кибервалюты: вопросы правового обеспечения финансовой безопасности России // Бюджетное право и финансовая деятельность государства на современном этапе (к 90-летию со дня рождения М.И. Пискотина): материалы Международной научно-практической конференции. Москва, 28 ноября 2014 г. / под ред. И.А. Цинделиани. М.: РГУП, 2015. С. 203 - 212; Костикова Е.Г. Кибервалюта: экономическая характеристика технологической инновации в целях формирования правовых основ обращения (на примере Bitcoin) // Финансовая деятельность в сфере публичных и частных финансов: современное состояние и перспективы развития: материалы Международной научно-практической конференции. Москва, 27 ноября 2015 г. / под ред. И.А. Цинделиани. М.: РГУП, 2016. С. 247 - 253; Елфимова П.Е. Регулирование оборота криптовалюты: перспективы, проблематика, последствия // Проблемы российской экономики на современном этапе: материалы всероссийской научно-практической конференции. Москва, 2020. С. 123 - 129.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Таким образом, риски и угрозы финансовой безопасности государства были очевидны, однако цифровые технологии, позволяющие нивелировать их, еще не были разработаны. Кроме того, не сформировалась концепция правового регулирования выпуска и обращения криптовалют ввиду недостаточной изученности этого нового экономического явления. Об этом в том числе свидетельствуют "препирания" между Минфином России и Банком России относительно распределения контрольных полномочий: по задумке финансового органа именно Центробанк должен был осуществлять постоянный мониторинг сети Интернет для выявления противоправной деятельности с криптовалютами, однако последний от нового функционала отказывался, ссылаясь на то, что это не соответствует целям и задачам его деятельности </w:t>
      </w:r>
      <w:r w:rsidRPr="0045131A">
        <w:rPr>
          <w:highlight w:val="yellow"/>
        </w:rPr>
        <w:t>&lt;3&gt;.</w:t>
      </w:r>
      <w:r>
        <w:t xml:space="preserve"> В таких условиях запрет операций с криптовалютами был единственно доступным способом их регулирования.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&lt;3&gt; См.: </w:t>
      </w:r>
      <w:r w:rsidRPr="0045131A">
        <w:rPr>
          <w:highlight w:val="yellow"/>
        </w:rPr>
        <w:t>Костикова Е.Г. Кибервалюты: вопросы правового обеспечения финансовой безопасности России. С. 207.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Началом второго этапа можно считать 2018 г., когда в Государственную Думу Российской </w:t>
      </w:r>
      <w:r>
        <w:lastRenderedPageBreak/>
        <w:t xml:space="preserve">Федерации был внесен </w:t>
      </w:r>
      <w:hyperlink r:id="rId8">
        <w:r>
          <w:rPr>
            <w:color w:val="0000FF"/>
          </w:rPr>
          <w:t>законопроект</w:t>
        </w:r>
      </w:hyperlink>
      <w:r>
        <w:t xml:space="preserve"> "О цифровых финансовых активах" </w:t>
      </w:r>
      <w:r w:rsidRPr="004C6CCE">
        <w:rPr>
          <w:highlight w:val="cyan"/>
        </w:rPr>
        <w:t>&lt;4&gt;.</w:t>
      </w:r>
      <w:r>
        <w:t xml:space="preserve"> Обсуждение </w:t>
      </w:r>
      <w:hyperlink r:id="rId9">
        <w:r>
          <w:rPr>
            <w:color w:val="0000FF"/>
          </w:rPr>
          <w:t>проекта</w:t>
        </w:r>
      </w:hyperlink>
      <w:r>
        <w:t xml:space="preserve"> было долгим: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31 июля 2020 г N 259-ФЗ "О цифровых финансовых активах, цифровой валюте и о внесении изменений в отдельные законодательные акты Российской Федерации" </w:t>
      </w:r>
      <w:r w:rsidRPr="004C6CCE">
        <w:rPr>
          <w:highlight w:val="cyan"/>
        </w:rPr>
        <w:t>&lt;5&gt;</w:t>
      </w:r>
      <w:r>
        <w:t xml:space="preserve"> был принят только в 2020 г. Подготовка этого документа обусловлена, во-первых, осознанием бесперспективности примитивного запрета криптовалют, во-вторых, формированием понимания экономико-правовой, а также технологической сущности этого феномена в результате проведенных исследований </w:t>
      </w:r>
      <w:r w:rsidRPr="009D024A">
        <w:rPr>
          <w:highlight w:val="yellow"/>
        </w:rPr>
        <w:t>&lt;6&gt;,</w:t>
      </w:r>
      <w:r>
        <w:t xml:space="preserve"> в том числе силами Банка России и Сбербанка </w:t>
      </w:r>
      <w:r w:rsidRPr="009D024A">
        <w:rPr>
          <w:highlight w:val="yellow"/>
        </w:rPr>
        <w:t>&lt;7&gt;.</w:t>
      </w:r>
      <w:r>
        <w:t xml:space="preserve"> </w:t>
      </w:r>
      <w:hyperlink r:id="rId11">
        <w:r>
          <w:rPr>
            <w:color w:val="0000FF"/>
          </w:rPr>
          <w:t>Закон</w:t>
        </w:r>
      </w:hyperlink>
      <w:r>
        <w:t xml:space="preserve"> закрепил определение понятия "цифровая валюта" как средства платежа, которое при этом не является официальной денежной или расчетной единицей, а также как инвестиционный инструмент. Таким образом, российское государство официально "признало" криптовалюту. Однако разрешительного характера регулирование не приобрело: в </w:t>
      </w:r>
      <w:hyperlink r:id="rId12">
        <w:r>
          <w:rPr>
            <w:color w:val="0000FF"/>
          </w:rPr>
          <w:t>ст. 14</w:t>
        </w:r>
      </w:hyperlink>
      <w:r>
        <w:t xml:space="preserve"> заложены правовые основы выпуска и обращения цифровых валют с использованием объектов российской информационной инфраструктуры, при этом оплата товаров (работ, услуг) криптовалютами запрещена. Кроме того, обладатели цифровой валюты могут рассчитывать на судебную защиту своих прав "только при условии информирования ими о фактах обладания цифровой валютой и совершения гражданско-правовых сделок и (или) операций с цифровой валютой в порядке, установленном законодательством Российской Федерации о налогах и сборах" </w:t>
      </w:r>
      <w:hyperlink r:id="rId13">
        <w:r>
          <w:rPr>
            <w:color w:val="0000FF"/>
          </w:rPr>
          <w:t>(п. 6)</w:t>
        </w:r>
      </w:hyperlink>
      <w:r>
        <w:t>. А правовые основы для использования криптовалют как инвестиционного инструмента и вовсе не были сформированы: законодатель ограничился только указанием на такую возможность.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Паспорт</w:t>
        </w:r>
      </w:hyperlink>
      <w:r>
        <w:t xml:space="preserve"> проекта Федерального закона N 419059-7 "О цифровых финансовых активах, цифровой валюте и о внесении изменений в отдельные законодательные акты Российской Федерации" // СПС "КонсультантПлюс".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&lt;5&gt; СЗ РФ. 2020. N 31 (ч. I). Ст. 5018.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&lt;6&gt; Изучению криптовалют посвящены многочисленные работы, в том числе монографии. См., напр.: Кучеров И.И. Криптовалюта (идеи правовой идентификации и легитимации альтернативных платежных средств): монография. М.: Центр ЮрИнфоР, 2018; Кучеров И.И. </w:t>
      </w:r>
      <w:hyperlink r:id="rId15">
        <w:r>
          <w:rPr>
            <w:color w:val="0000FF"/>
          </w:rPr>
          <w:t>Криптовалюта как правовая категория</w:t>
        </w:r>
      </w:hyperlink>
      <w:r>
        <w:t xml:space="preserve"> // Финансовое право. 2018. N 5. С. 3 - 8; Генкин А., Михеев А. Блокчейн: Как это работает и что ждет нас завтра. М.: Альпина Паблишер, 2018; Максуров А.А. Блокчейн, криптовалюта, майнинг: понятие и правовое регулирование: монография. М.: Дашков и К, 2020; Актуальные проблемы блокчейн-технологий в финансовом праве: учебное пособие для магистратуры / под ред. Е.Ю. Грачевой, Л.Л. Арзумановой. М.: Норма: ИНФРА-М, 2022; Цинделиани И.А., Нигматулина Л.Б. </w:t>
      </w:r>
      <w:hyperlink r:id="rId16">
        <w:r>
          <w:rPr>
            <w:color w:val="0000FF"/>
          </w:rPr>
          <w:t>Криптовалюта как объект</w:t>
        </w:r>
      </w:hyperlink>
      <w:r>
        <w:t xml:space="preserve"> гражданско-правового и финансово-правового регулирования // Финансовое право. 2018. N 7. С. 18 - 25; Хаванова И.А. </w:t>
      </w:r>
      <w:hyperlink r:id="rId17">
        <w:r>
          <w:rPr>
            <w:color w:val="0000FF"/>
          </w:rPr>
          <w:t>Налоговые последствия</w:t>
        </w:r>
      </w:hyperlink>
      <w:r>
        <w:t xml:space="preserve"> использования альтернативных платежных средств (теоретико-правовые аспекты) // Вестник Пермского университета. Юридические науки. 2017. N 1. С. 66 - 72; Кудряшова Е.В. </w:t>
      </w:r>
      <w:hyperlink r:id="rId18">
        <w:r>
          <w:rPr>
            <w:color w:val="0000FF"/>
          </w:rPr>
          <w:t>Правовое регулирование криптовалют</w:t>
        </w:r>
      </w:hyperlink>
      <w:r>
        <w:t xml:space="preserve">: выбор вектора развития // Финансовое право. 2018. N 6. С. 7 - 11; Трунцевский Ю.В. </w:t>
      </w:r>
      <w:hyperlink r:id="rId19">
        <w:r>
          <w:rPr>
            <w:color w:val="0000FF"/>
          </w:rPr>
          <w:t>Цифровая (виртуальная) валюта</w:t>
        </w:r>
      </w:hyperlink>
      <w:r>
        <w:t xml:space="preserve"> и противодействие отмыванию денег: правовое регулирование // Банковское право. 2018. N 2. С. 18 - 28; и др.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&lt;7&gt; Костикова Е.Г. Кибервалюты: вопросы правового обеспечения финансовой безопасности России. С. 203 - 212; Елфимова П.Е. Указ. соч. С. 124 - 125.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Таким образом, на втором этапе наметился концептуальный подход к правовому регулированию оборота криптовалют: как средство платежа (расчетов) они, по сути, запрещены, при этом легализованы как инвестиции. "Минимализм" в правовом регулировании - обороту криптовалют (цифровых валют) посвящена только одна статья в законе - в первую очередь можно объяснить отсутствием цифровых технологий, обеспечивающих их подконтрольный оборот. В таких условиях правовое регулирование может носить исключительно декларативный характер. Тем не менее следует констатировать, что российское государство приступило к формированию специального законодательства.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lastRenderedPageBreak/>
        <w:t xml:space="preserve">Третий этап стартовал в 2022 г.: в январе Банк России опубликовал доклад для общественных консультаций "Криптовалюты: тренды, риски, меры" </w:t>
      </w:r>
      <w:r w:rsidRPr="009D024A">
        <w:rPr>
          <w:highlight w:val="yellow"/>
        </w:rPr>
        <w:t>&lt;8&gt;,</w:t>
      </w:r>
      <w:r>
        <w:t xml:space="preserve"> а в феврале Правительство Российской Федерации (далее также - РФ) утвердило </w:t>
      </w:r>
      <w:r w:rsidRPr="009D024A">
        <w:rPr>
          <w:highlight w:val="cyan"/>
        </w:rPr>
        <w:t>&lt;9&gt;</w:t>
      </w:r>
      <w:r>
        <w:t xml:space="preserve"> </w:t>
      </w:r>
      <w:hyperlink r:id="rId20">
        <w:r>
          <w:rPr>
            <w:color w:val="0000FF"/>
          </w:rPr>
          <w:t>Концепцию</w:t>
        </w:r>
      </w:hyperlink>
      <w:r>
        <w:t xml:space="preserve"> законодательного регламентирования механизмов организации оборота цифровых валют </w:t>
      </w:r>
      <w:r w:rsidRPr="009D024A">
        <w:rPr>
          <w:highlight w:val="cyan"/>
        </w:rPr>
        <w:t>&lt;10&gt;,</w:t>
      </w:r>
      <w:r>
        <w:t xml:space="preserve"> где речь также идет о криптовалютах.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&lt;8&gt; Доклад для общественных консультаций "Криптовалюты: тренды, риски, меры". Москва, 2022. URL: http://www.cbr.ru/content/document/file/132241/consultation_paper_20012022.pdf (дата обращения: 17.04.2022).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&lt;9&gt; Правительство утвердило </w:t>
      </w:r>
      <w:hyperlink r:id="rId21">
        <w:r>
          <w:rPr>
            <w:color w:val="0000FF"/>
          </w:rPr>
          <w:t>Концепцию</w:t>
        </w:r>
      </w:hyperlink>
      <w:r>
        <w:t xml:space="preserve"> законодательного регулирования оборота цифровых валют. 8 февраля 2022 г. URL: http://government.ru/news/44519/ (дата обращения: 02.04.2022).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&lt;10&gt; См.: http://static.government.ru/media/files/Dik7wBqAubc34ed649ql2Kg6HuTANrqZ.pdf (дата обращения: 02.04.2022).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Важно отметить, что подходы ведомств принципиально отличаются.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В докладе "Криптовалюты: тренды, риски, меры" Банк России оценил риски распространения криптовалют и сформулировал предложения по дальнейшему развитию правового регулирования в этой сфере. Ожидаемо Банк России указал на недопустимость легализации криптовалют в качестве средства платежа, поскольку это "создает риск подрыва денежного обращения и утраты суверенитета национальной валюты"; также "криптоизация" существенно снижает эффективность независимой денежно-кредитной политики </w:t>
      </w:r>
      <w:r w:rsidRPr="009D024A">
        <w:rPr>
          <w:highlight w:val="yellow"/>
        </w:rPr>
        <w:t>&lt;11&gt;.</w:t>
      </w:r>
      <w:r>
        <w:t xml:space="preserve"> Вместе с тем Центробанк крайне негативно оценил перспективы использования криптовалют и в качестве инвестиционных инструментов: 1) для граждан это чревато финансовыми потерями из-за высокой волатильности рынка криптовалют, мошеннических действий и киберугроз при отсутствии действенных способов и инструментов защиты нарушенных прав; 2) для банковской системы и финансовой системы в целом - подрывом стабильности ввиду "перетока капитала из традиционной финансовой системы на криптовалютный рынок", что приведет к сокращению объемов финансирования реального сектора экономики, оттоку капитала из страны, а также снижению финансовой устойчивости кредитных и некредитных финансовых организаций &lt;</w:t>
      </w:r>
      <w:r w:rsidRPr="009D024A">
        <w:rPr>
          <w:highlight w:val="yellow"/>
        </w:rPr>
        <w:t>12&gt;</w:t>
      </w:r>
      <w:r>
        <w:t xml:space="preserve">. Помимо указанного, регулятор отметил угрозы, связанные с нелегальной деятельностью, а также пагубное влияние майнинга на окружающую среду </w:t>
      </w:r>
      <w:r w:rsidRPr="009D024A">
        <w:rPr>
          <w:highlight w:val="yellow"/>
        </w:rPr>
        <w:t>&lt;13&gt;,</w:t>
      </w:r>
      <w:r>
        <w:t xml:space="preserve"> что не соответствует установкам "зеленой" экономики.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&lt;11&gt; Там же. С. 26.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&lt;12&gt; Там же. С. 23 - 26.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&lt;13&gt; Там же. С. 27 - 28.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В связи с изложенным, а также с учетом изученного мирового опыта, Банк России предлагает жестко ограничить операции с криптовалютами путем введения запретов: 1) на организацию выпуска и (или) выпуск, организацию обращения и обмена криптовалют на территории Российской Федерации; 2) использование инфраструктуры российского финансового рынка для любых операций с криптовалютами; 3) вовлечение российских финансовых организаций в операции с криптовалютами, в том числе за счет их собственных средств. Запреты должны подкрепляться ответственностью за их нарушение. Также регулятор считает необходимым установить ответственность за использование криптовалюты в качестве средства платежа за товары (работы, услуги) для резидентов России (в настоящее время - ограничение возможности защиты прав).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Дальнейшее развитие правового регулирования в сфере оборота криптовалют, по мнению </w:t>
      </w:r>
      <w:r>
        <w:lastRenderedPageBreak/>
        <w:t>Центробанка, должно быть направлено на совершенствование финансового контроля (мониторинга рисков) с выстраиванием системы как международного, так и внутрироссийского (межведомственного) обмена информацией.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Таким образом, Банк России является сторонником запретительного подхода к правовому регулированию операций с криптовалютами.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Однако Правительство РФ придерживается иной позиции, что прямо следует из </w:t>
      </w:r>
      <w:hyperlink r:id="rId22">
        <w:r>
          <w:rPr>
            <w:color w:val="0000FF"/>
          </w:rPr>
          <w:t>Концепции</w:t>
        </w:r>
      </w:hyperlink>
      <w:r>
        <w:t xml:space="preserve"> законодательного регламентирования механизмов организации оборота цифровых валют. В документе констатируется рост вложений россиян в криптовалюты, а также 3-е место России в мире по объему мировых майнинговых мощностей. В связи с этим поставлена задача легализации рынка криптовалют, что обеспечит 1) защиту прав лиц, инвестировавших в криптовалюту; 2) возможность организовать контроль за совершаемыми операциями; а также 3) уплату налогов новыми участниками экономических отношений, вышедшими "из тени".</w:t>
      </w:r>
    </w:p>
    <w:p w:rsidR="00292A33" w:rsidRDefault="00EF7921">
      <w:pPr>
        <w:pStyle w:val="ConsPlusNormal"/>
        <w:spacing w:before="220"/>
        <w:ind w:firstLine="540"/>
        <w:jc w:val="both"/>
      </w:pPr>
      <w:hyperlink r:id="rId23">
        <w:r w:rsidR="00292A33">
          <w:rPr>
            <w:color w:val="0000FF"/>
          </w:rPr>
          <w:t>Концепция</w:t>
        </w:r>
      </w:hyperlink>
      <w:r w:rsidR="00292A33">
        <w:t xml:space="preserve"> определяет круг участников правоотношений, связанных с оборотом криптовалют, предусматривает введение для них требований и обязанностей (по аналогии с цифровыми финансовыми активами). В качестве специальных субъектов рассматриваются: 1) организаторы системы обмена цифровых валют, функции которых смогут выполнять банки с универсальной лицензией; 2) операторы обмена цифровых валют - лицензированные российские юридические лица, совершающие операции с денежными средствами в соответствии с антиотмывочным законодательством, для которых будут установлены повышенные требования к уставному капиталу; 3) иностранные биржи цифровых валют - при условии открытия ими представительств в России. Юридические и физические лица, совершающие операции с цифровой валютой, именуются клиентами и инвесторами, которых в целях введения лимитов по операциям предполагается подразделять на квалифицированных и неквалифицированных.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Организаторы системы обмена цифровых валют, включенные в специальный реестр, будут осуществлять: 1) идентификацию не только участников конверсионных операций, но и их кошельков, устройств, с которых осуществляются транзакции, а также банковских счетов и карт, используемых в операциях; 2) контролировать законность операций и движение денежных средств; 3) хранить информацию о сделках (не менее 5 лет); 4) предоставлять информацию, необходимую для осуществления государственного финансового контроля. Будучи банком, организатор также уполномочен осуществлять банковское обслуживание участников сделки.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Операторы обмена цифровых валют будут совершать обменные операции цифровой валюты на фиатные деньги </w:t>
      </w:r>
      <w:r w:rsidRPr="009D024A">
        <w:rPr>
          <w:highlight w:val="cyan"/>
        </w:rPr>
        <w:t>&lt;14&gt;,</w:t>
      </w:r>
      <w:r>
        <w:t xml:space="preserve"> а также цифровой валюты одного вида на цифровую валюту другого вида. Для учета этих субъектов также будет организован реестр. Предполагается, что будет две модели операторов: 1) "обменники" (с базовыми правами, позволяющими совершать операции с собственного имени и в своих интересах); и 2) "биржи" (с универсальными правами, позволяющими организовать обменные операции не только с биржей, но и напрямую между клиентами). Операторы обязаны идентифицировать клиентов, а также представлять данные о планируемых операциях организатору системы обмена цифровой валюты, с которым они взаимодействуют, - для проверки.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&lt;14&gt; Согласно </w:t>
      </w:r>
      <w:hyperlink r:id="rId24">
        <w:r>
          <w:rPr>
            <w:color w:val="0000FF"/>
          </w:rPr>
          <w:t>Концепции</w:t>
        </w:r>
      </w:hyperlink>
      <w:r>
        <w:t xml:space="preserve"> фиатные деньги - это эмитируемые государством денежные средства.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Иностранные цифровые биржи допускаются к совершению операций на территории России при условии заключения договора с организатором системы обмена цифровых валют, а также соблюдения запрета на вывод денежных средств клиента с иностранной площадки на счета и кошельки, открытые не у организатора.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lastRenderedPageBreak/>
        <w:t>Клиентам, чтобы совершать операции, требуется электронный кошелек у организатора системы обмена цифровых валют и криптовалютный кошелек - у оператора обмена цифровых валют, с прохождением при этом процедуры идентификации. Эти кошельки связаны между собой. На иностранной бирже купля-продажа цифровых валют, а также другие операции с ними должны совершаться через счета, открытые у российских организаторов.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Операционное взаимодействие, а также контрольный функционал планируется обеспечивать посредством специальной информационной системы и программного обеспечения. В качестве таковой предлагается сервис "Прозрачный блокчейн", который в настоящее время имеется в распоряжении Росфинмониторинга. Этот программный инструмент был разработан еще в 2020 г. для анализа операций с Bitcoin по аналогии с сервисами, работающими в других государствах, и уже успешно протестирован, о чем заявил глава ведомства Юрий Чиханчин </w:t>
      </w:r>
      <w:r w:rsidRPr="009D024A">
        <w:rPr>
          <w:highlight w:val="cyan"/>
        </w:rPr>
        <w:t>&lt;15&gt;.</w:t>
      </w:r>
      <w:r>
        <w:t xml:space="preserve"> Ставятся задачи посредством программы обеспечить: 1) сканирование сетей Интернет и Даркнет для выявления кошельков, связанных с подозрительной деятельностью для целей ПОД/ФТ/ФРОМУ </w:t>
      </w:r>
      <w:r w:rsidRPr="009D024A">
        <w:rPr>
          <w:highlight w:val="cyan"/>
        </w:rPr>
        <w:t>&lt;16&gt;,</w:t>
      </w:r>
      <w:r>
        <w:t xml:space="preserve"> и формирование соответствующей базы данных; 2) выявление провайдеров услуг виртуальных активов, через которых происходит легализация и сокрытие средств, полученных преступным путем; 3) идентификацию участников криптовалютных операций с составлением их профилей, характеризующих экономическую деятельность, а также вероятность участия в противоправной деятельности; 4) оценку операций как "нормальных", подозрительных и высокорисковых; 5) отслеживание цепочки перемещения цифровых и фиатных валют с целью выявления незаконных финансовых операций.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&lt;15&gt; Юрий Чиханчин: "Россия вошла в пятерку лучших по эффективности "антиотмывочных" систем в мире". 03.12.2021. URL: https://fedsfm.ru/mediaaboutus/5496 (дата обращения: 02.04.2022).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&lt;16&gt;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В качестве контролеров обозначены Минфин России, Росфинмониторинг, ФНС России, Минцифры России, Генпрокуратура Российской Федерации и Банк России - каждый в пределах установленных полномочий.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Для реализации </w:t>
      </w:r>
      <w:hyperlink r:id="rId25">
        <w:r>
          <w:rPr>
            <w:color w:val="0000FF"/>
          </w:rPr>
          <w:t>Концепции</w:t>
        </w:r>
      </w:hyperlink>
      <w:r>
        <w:t xml:space="preserve"> запланировано внесение поправок: 1) в Налоговый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 (закрепление обязанности декларировать сведения по операциям, связанным с использованием цифровых валют, в случае, если сумма этих операций составит более 600 тыс. руб.; введение налоговой ответственности за неуплату (неполную уплату) налога по операциям, расчеты по которым осуществлялись с использованием цифровых валют, а также за непредставление в налоговые органы сведений, необходимых для осуществления налогового контроля); 2)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а также Уголовный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 и Уголовно-процессуальный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 (введение административной и уголовной ответственности за незаконные операции с цифровыми финансовыми активами и цифровыми валютами); 3) </w:t>
      </w:r>
      <w:hyperlink r:id="rId30">
        <w:r>
          <w:rPr>
            <w:color w:val="0000FF"/>
          </w:rPr>
          <w:t>ст. 7.1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</w:t>
      </w:r>
      <w:r w:rsidRPr="009D024A">
        <w:rPr>
          <w:highlight w:val="cyan"/>
        </w:rPr>
        <w:t>&lt;17&gt;</w:t>
      </w:r>
      <w:r>
        <w:t xml:space="preserve"> (установление обязанности субъектов ПОД/ФТ/ФРОМУ направлять в Росфинмониторинг информацию об операциях с цифровыми валютами).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&lt;17&gt; СЗ РФ. 2001. N 33 (ч. I). Ст. 3418.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lastRenderedPageBreak/>
        <w:t xml:space="preserve">Минфин России уже подготовил и направил в Правительство РФ проект федерального закона "О цифровой валюте" </w:t>
      </w:r>
      <w:r w:rsidRPr="009D024A">
        <w:rPr>
          <w:highlight w:val="cyan"/>
        </w:rPr>
        <w:t>&lt;18&gt;.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&lt;18&gt; См.: Информация Минфина России от 21 февраля 2022 г. "Минфин России направил в Правительство России проект федерального закона "О цифровой валюте" // СПС "Гарант".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Законопроект отразил основные установки </w:t>
      </w:r>
      <w:hyperlink r:id="rId31">
        <w:r>
          <w:rPr>
            <w:color w:val="0000FF"/>
          </w:rPr>
          <w:t>Концепции</w:t>
        </w:r>
      </w:hyperlink>
      <w:r>
        <w:t>: в нем определены круг специальных субъектов, уполномоченных на совершение операций с криптовалютами; требования к ним, а также порядок осуществления контроля за их деятельностью; предусмотрен порядок совершения операций с криптовалютами, в том числе правила идентификации клиентов и мониторинга в отношении транзакций; введено определение цифрового майнинга как деятельности, направленной на получение криптовалюты, и др.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Важно, что в этом документе заявлена принципиальная позиция относительно функций цифровой валюты: расчеты в цифровой валюте, согласно законопроекту, будут по-прежнему запрещены; она может использоваться исключительно как инструмент для инвестиций. В </w:t>
      </w:r>
      <w:hyperlink r:id="rId32">
        <w:r>
          <w:rPr>
            <w:color w:val="0000FF"/>
          </w:rPr>
          <w:t>Концепции</w:t>
        </w:r>
      </w:hyperlink>
      <w:r>
        <w:t xml:space="preserve"> такой подход прямо не предусмотрен.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Расценивая цифровую валюту как высокорисковый инвестиционный инструмент, Минфин России для снижения рисков предусмотрел проверку финансовой грамотности граждан путем тестирования; при успешном прохождении проверки граждане смогут вкладывать в цифровые валюты до 600 тыс. рублей ежегодно; если тестирование не пройдено - до 50 тыс. рублей. Эта процедура не будет касаться квалифицированных инвесторов и юридических лиц: они смогут совершать операции без ограничений. Криптобиржи также будут обязаны предупреждать граждан о высоких рисках, связанных с приобретением цифровых валют. Также они будут обязаны вести номинальные счета, на которых будут находиться денежные средства участников торгов.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Таким образом, Правительство РФ вместе с Минфином России - в отличие от Центробанка - предлагают реализовать разрешительное регулирование в отношении операций с криптовалютами с указанными ограничениями. При этом </w:t>
      </w:r>
      <w:hyperlink r:id="rId33">
        <w:r>
          <w:rPr>
            <w:color w:val="0000FF"/>
          </w:rPr>
          <w:t>Концепция</w:t>
        </w:r>
      </w:hyperlink>
      <w:r>
        <w:t xml:space="preserve"> регулирования по сравнению с действующей принципиально не изменилась: цифровые валюты по-прежнему не рассматриваются как средство платежей и расчетов, а могут выполнять исключительно функцию инвестиции. Однако меняется содержание регулирования: оно обретает детальный характер, что обеспечивает легализацию экономической деятельности, связанной с криптовалютами, и, как следствие, ее налогообложение. Важно отметить, что правовые новеллы стали возможны с появлением цифровых технологий, позволяющих осуществлять финансовый контроль в соответствующей сфере: именно это позволило разработать алгоритм организации законных операций с криптовалютами, их мониторинга с целью пресечения незаконных транзакций.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С учетом изложенного следует констатировать, что Россия подошла к третьему этапу правового регулирования обращения криптовалют с существенными разногласиями между главными ведомствами государства. Природа таких разногласий объясняется различием целей и задач деятельности каждого: Правительство РФ вместе с финансовым ведомством заинтересовано в обеспечении фискальных интересов государства, а Центробанк - в защите банковской системы и традиционного финансового рынка от оттока денежных средств на криптовалютные рынки.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Принципиально более правильным представляется подход, предлагаемый Минфином России: введение запретов не уничтожит эту сферу экономической деятельности, а окончательно уведет ее "в тень". Именно такие перспективы вырисовывает накопленный опыт: в условиях ограничений и запретов оборот криптовалют увеличивался и достиг огромных масштабов.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Также верным можно считать закрепление за криптовалютами именно статуса инвестиционных инструментов: из-за высокой волатильности рынка цифровые валюты "нарастили" </w:t>
      </w:r>
      <w:r>
        <w:lastRenderedPageBreak/>
        <w:t xml:space="preserve">инвестиционные характеристики, "подрастеряв" потенциал легального средства платежа (расчетов); заинтересованность в таких расчетах в большей степени сохраняется у субъектов незаконной экономической деятельности, скрывающих платежные транзакции </w:t>
      </w:r>
      <w:r w:rsidRPr="009D024A">
        <w:rPr>
          <w:highlight w:val="cyan"/>
        </w:rPr>
        <w:t>&lt;19&gt;.</w:t>
      </w:r>
    </w:p>
    <w:p w:rsidR="00292A33" w:rsidRPr="00292A33" w:rsidRDefault="00292A33">
      <w:pPr>
        <w:pStyle w:val="ConsPlusNormal"/>
        <w:spacing w:before="220"/>
        <w:ind w:firstLine="540"/>
        <w:jc w:val="both"/>
        <w:rPr>
          <w:lang w:val="en-US"/>
        </w:rPr>
      </w:pPr>
      <w:r w:rsidRPr="00292A33">
        <w:rPr>
          <w:lang w:val="en-US"/>
        </w:rP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 w:rsidRPr="00292A33">
        <w:rPr>
          <w:lang w:val="en-US"/>
        </w:rPr>
        <w:t xml:space="preserve">&lt;19&gt; </w:t>
      </w:r>
      <w:r>
        <w:t>См</w:t>
      </w:r>
      <w:r w:rsidRPr="00292A33">
        <w:rPr>
          <w:lang w:val="en-US"/>
        </w:rPr>
        <w:t xml:space="preserve">.: Prospects of legal regulation and use of the digital rouble / Ekaterina Kostikova, Diana Alekseeva, Svetlana Rybakova and Anna Savina // SHS Web Conf. Volume 109, 2021. International Scientific and Practical Conference "Law and the Information Society: Digital Approach" (LISID-2020). </w:t>
      </w:r>
      <w:r>
        <w:t>DOI: 10.1051/shsconf/202110901018.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 xml:space="preserve">Нормы права, регулирующие инвестиционные отношения в сфере криптовалют, могут образовать новый правовой институт такой подотрасли финансового права, как публичное право финансовых рынков </w:t>
      </w:r>
      <w:r w:rsidRPr="009D024A">
        <w:rPr>
          <w:highlight w:val="yellow"/>
        </w:rPr>
        <w:t>&lt;20&gt;.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&lt;20&gt; Такую подотрасль финансового права выделяет С.С. Тропская. См., напр.: Тропская С.С. Публичное право финансового рынка в системе финансового права // Государство и право. 2017. N 3. С. 73 - 78; Тропская С.С. Субъекты публичного права финансового рынка: понятие и виды // Государство и право. 2020. N 9. С. 41 - 49.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>
      <w:pPr>
        <w:pStyle w:val="ConsPlusNormal"/>
        <w:ind w:firstLine="540"/>
        <w:jc w:val="both"/>
      </w:pPr>
      <w:r>
        <w:t>Формирование правовых основ цифровых валют как инвестиционных инструментов обеспечит их включение в финансовую систему российского государства. При этом элементами отечественной денежной системы они не станут из-за отсутствия статуса средства платежа (расчетов).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 xml:space="preserve">Тем не менее окончательные выводы о содержании нового правового регулирования оборота криптовалют пока преждевременны: законопроект может кардинально измениться в ходе его обсуждения с участием Банка России с учетом высказанной критики: как заявила глава регулятора Эльвира Набиуллина, он не обеспечивает нивелирование рисков, на которые указано в докладе </w:t>
      </w:r>
      <w:r w:rsidRPr="009D024A">
        <w:rPr>
          <w:highlight w:val="cyan"/>
        </w:rPr>
        <w:t>&lt;21&gt;.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2A33" w:rsidRDefault="00292A33">
      <w:pPr>
        <w:pStyle w:val="ConsPlusNormal"/>
        <w:spacing w:before="220"/>
        <w:ind w:firstLine="540"/>
        <w:jc w:val="both"/>
      </w:pPr>
      <w:r>
        <w:t>&lt;21&gt; См.: Заявление Председателя Банка России Эльвиры Набиуллиной по итогам заседания Совета директоров Банка России 11 февраля 2022 г. URL: https://cbr.ru/eng/press/event/?id=12677 (дата обращения: 17.04.2022).</w:t>
      </w:r>
    </w:p>
    <w:p w:rsidR="00292A33" w:rsidRDefault="00292A33">
      <w:pPr>
        <w:pStyle w:val="ConsPlusNormal"/>
        <w:ind w:firstLine="540"/>
        <w:jc w:val="both"/>
      </w:pPr>
    </w:p>
    <w:p w:rsidR="00292A33" w:rsidRDefault="00292A33" w:rsidP="00A941AF">
      <w:pPr>
        <w:pStyle w:val="ConsPlusNormal"/>
      </w:pPr>
      <w:r>
        <w:t>Литература</w:t>
      </w:r>
    </w:p>
    <w:p w:rsidR="00292A33" w:rsidRDefault="00292A33">
      <w:pPr>
        <w:pStyle w:val="ConsPlusNormal"/>
        <w:ind w:firstLine="540"/>
        <w:jc w:val="both"/>
      </w:pPr>
    </w:p>
    <w:sectPr w:rsidR="00292A33" w:rsidSect="00D6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21" w:rsidRDefault="00EF7921" w:rsidP="008A3F5B">
      <w:pPr>
        <w:spacing w:after="0" w:line="240" w:lineRule="auto"/>
      </w:pPr>
      <w:r>
        <w:separator/>
      </w:r>
    </w:p>
  </w:endnote>
  <w:endnote w:type="continuationSeparator" w:id="0">
    <w:p w:rsidR="00EF7921" w:rsidRDefault="00EF7921" w:rsidP="008A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21" w:rsidRDefault="00EF7921" w:rsidP="008A3F5B">
      <w:pPr>
        <w:spacing w:after="0" w:line="240" w:lineRule="auto"/>
      </w:pPr>
      <w:r>
        <w:separator/>
      </w:r>
    </w:p>
  </w:footnote>
  <w:footnote w:type="continuationSeparator" w:id="0">
    <w:p w:rsidR="00EF7921" w:rsidRDefault="00EF7921" w:rsidP="008A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2D4"/>
    <w:multiLevelType w:val="hybridMultilevel"/>
    <w:tmpl w:val="B62434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33"/>
    <w:rsid w:val="00155D0C"/>
    <w:rsid w:val="00261727"/>
    <w:rsid w:val="00292A33"/>
    <w:rsid w:val="003A4259"/>
    <w:rsid w:val="0045131A"/>
    <w:rsid w:val="004C6CCE"/>
    <w:rsid w:val="0054612C"/>
    <w:rsid w:val="008A3F5B"/>
    <w:rsid w:val="009D024A"/>
    <w:rsid w:val="00A941AF"/>
    <w:rsid w:val="00AF1566"/>
    <w:rsid w:val="00B74784"/>
    <w:rsid w:val="00E77566"/>
    <w:rsid w:val="00E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4943"/>
  <w15:chartTrackingRefBased/>
  <w15:docId w15:val="{81241162-175C-44A9-9794-56D98E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A3F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3F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3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J&amp;n=197492" TargetMode="External"/><Relationship Id="rId13" Type="http://schemas.openxmlformats.org/officeDocument/2006/relationships/hyperlink" Target="https://login.consultant.ru/link/?req=doc&amp;base=LAW&amp;n=422194&amp;dst=100265" TargetMode="External"/><Relationship Id="rId18" Type="http://schemas.openxmlformats.org/officeDocument/2006/relationships/hyperlink" Target="https://login.consultant.ru/link/?req=doc&amp;base=CJI&amp;n=115229" TargetMode="External"/><Relationship Id="rId26" Type="http://schemas.openxmlformats.org/officeDocument/2006/relationships/hyperlink" Target="https://login.consultant.ru/link/?req=doc&amp;base=LAW&amp;n=4164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878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94&amp;dst=100259" TargetMode="External"/><Relationship Id="rId17" Type="http://schemas.openxmlformats.org/officeDocument/2006/relationships/hyperlink" Target="https://login.consultant.ru/link/?req=doc&amp;base=CJI&amp;n=106714" TargetMode="External"/><Relationship Id="rId25" Type="http://schemas.openxmlformats.org/officeDocument/2006/relationships/hyperlink" Target="https://login.consultant.ru/link/?req=doc&amp;base=LAW&amp;n=408789" TargetMode="External"/><Relationship Id="rId33" Type="http://schemas.openxmlformats.org/officeDocument/2006/relationships/hyperlink" Target="https://login.consultant.ru/link/?req=doc&amp;base=LAW&amp;n=4087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5901" TargetMode="External"/><Relationship Id="rId20" Type="http://schemas.openxmlformats.org/officeDocument/2006/relationships/hyperlink" Target="https://login.consultant.ru/link/?req=doc&amp;base=LAW&amp;n=408789" TargetMode="External"/><Relationship Id="rId29" Type="http://schemas.openxmlformats.org/officeDocument/2006/relationships/hyperlink" Target="https://login.consultant.ru/link/?req=doc&amp;base=LAW&amp;n=4220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94" TargetMode="External"/><Relationship Id="rId24" Type="http://schemas.openxmlformats.org/officeDocument/2006/relationships/hyperlink" Target="https://login.consultant.ru/link/?req=doc&amp;base=LAW&amp;n=408789" TargetMode="External"/><Relationship Id="rId32" Type="http://schemas.openxmlformats.org/officeDocument/2006/relationships/hyperlink" Target="https://login.consultant.ru/link/?req=doc&amp;base=LAW&amp;n=408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14665" TargetMode="External"/><Relationship Id="rId23" Type="http://schemas.openxmlformats.org/officeDocument/2006/relationships/hyperlink" Target="https://login.consultant.ru/link/?req=doc&amp;base=LAW&amp;n=408789" TargetMode="External"/><Relationship Id="rId28" Type="http://schemas.openxmlformats.org/officeDocument/2006/relationships/hyperlink" Target="https://login.consultant.ru/link/?req=doc&amp;base=LAW&amp;n=422137" TargetMode="External"/><Relationship Id="rId10" Type="http://schemas.openxmlformats.org/officeDocument/2006/relationships/hyperlink" Target="https://login.consultant.ru/link/?req=doc&amp;base=LAW&amp;n=422194" TargetMode="External"/><Relationship Id="rId19" Type="http://schemas.openxmlformats.org/officeDocument/2006/relationships/hyperlink" Target="https://login.consultant.ru/link/?req=doc&amp;base=CJI&amp;n=113436" TargetMode="External"/><Relationship Id="rId31" Type="http://schemas.openxmlformats.org/officeDocument/2006/relationships/hyperlink" Target="https://login.consultant.ru/link/?req=doc&amp;base=LAW&amp;n=408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RJ&amp;n=197492" TargetMode="External"/><Relationship Id="rId14" Type="http://schemas.openxmlformats.org/officeDocument/2006/relationships/hyperlink" Target="https://login.consultant.ru/link/?req=doc&amp;base=PRJ&amp;n=170088" TargetMode="External"/><Relationship Id="rId22" Type="http://schemas.openxmlformats.org/officeDocument/2006/relationships/hyperlink" Target="https://login.consultant.ru/link/?req=doc&amp;base=LAW&amp;n=408789" TargetMode="External"/><Relationship Id="rId27" Type="http://schemas.openxmlformats.org/officeDocument/2006/relationships/hyperlink" Target="https://login.consultant.ru/link/?req=doc&amp;base=LAW&amp;n=422315" TargetMode="External"/><Relationship Id="rId30" Type="http://schemas.openxmlformats.org/officeDocument/2006/relationships/hyperlink" Target="https://login.consultant.ru/link/?req=doc&amp;base=LAW&amp;n=422153&amp;dst=10024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D3F-DEDA-4AC8-A61C-0631C55D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 Соколова</cp:lastModifiedBy>
  <cp:revision>4</cp:revision>
  <dcterms:created xsi:type="dcterms:W3CDTF">2024-02-25T07:26:00Z</dcterms:created>
  <dcterms:modified xsi:type="dcterms:W3CDTF">2024-02-25T09:41:00Z</dcterms:modified>
</cp:coreProperties>
</file>